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E147E" w14:textId="77777777" w:rsidR="00DD63EB" w:rsidRDefault="002C232E">
      <w:pPr>
        <w:pStyle w:val="3"/>
        <w:jc w:val="center"/>
      </w:pPr>
      <w:r>
        <w:rPr>
          <w:rFonts w:hint="eastAsia"/>
        </w:rPr>
        <w:t>《马铃薯小麦混合粉》行业标准编制说明</w:t>
      </w:r>
    </w:p>
    <w:p w14:paraId="3AF501DC" w14:textId="77777777" w:rsidR="00DD63EB" w:rsidRDefault="002C232E">
      <w:pPr>
        <w:pStyle w:val="4"/>
      </w:pPr>
      <w:r>
        <w:rPr>
          <w:rFonts w:hint="eastAsia"/>
        </w:rPr>
        <w:t xml:space="preserve">1 </w:t>
      </w:r>
      <w:r>
        <w:rPr>
          <w:rFonts w:hint="eastAsia"/>
        </w:rPr>
        <w:t>工作简况</w:t>
      </w:r>
    </w:p>
    <w:p w14:paraId="645537D3" w14:textId="77777777" w:rsidR="00DD63EB" w:rsidRDefault="002C232E">
      <w:pPr>
        <w:pStyle w:val="5"/>
        <w:numPr>
          <w:ilvl w:val="1"/>
          <w:numId w:val="2"/>
        </w:numPr>
      </w:pPr>
      <w:r>
        <w:rPr>
          <w:rFonts w:hint="eastAsia"/>
        </w:rPr>
        <w:t>任务来源</w:t>
      </w:r>
    </w:p>
    <w:p w14:paraId="344B90DD"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本标准由中华人民共和国农业农村部提出，由农业农村部农产品营养标准专家委员会并归口，经农业农村部农产品质</w:t>
      </w:r>
      <w:proofErr w:type="gramStart"/>
      <w:r>
        <w:rPr>
          <w:rFonts w:ascii="宋体" w:eastAsia="宋体" w:hAnsi="宋体" w:hint="eastAsia"/>
          <w:sz w:val="24"/>
        </w:rPr>
        <w:t>量安全</w:t>
      </w:r>
      <w:proofErr w:type="gramEnd"/>
      <w:r>
        <w:rPr>
          <w:rFonts w:ascii="宋体" w:eastAsia="宋体" w:hAnsi="宋体" w:hint="eastAsia"/>
          <w:sz w:val="24"/>
        </w:rPr>
        <w:t>监管司批准下达立项计划，文件编号为：</w:t>
      </w:r>
      <w:proofErr w:type="gramStart"/>
      <w:r>
        <w:rPr>
          <w:rFonts w:ascii="宋体" w:eastAsia="宋体" w:hAnsi="宋体" w:hint="eastAsia"/>
          <w:sz w:val="24"/>
        </w:rPr>
        <w:t>农质标函</w:t>
      </w:r>
      <w:proofErr w:type="gramEnd"/>
      <w:r>
        <w:rPr>
          <w:rFonts w:ascii="宋体" w:eastAsia="宋体" w:hAnsi="宋体" w:hint="eastAsia"/>
          <w:sz w:val="24"/>
        </w:rPr>
        <w:t>[2019]77</w:t>
      </w:r>
      <w:r>
        <w:rPr>
          <w:rFonts w:ascii="宋体" w:eastAsia="宋体" w:hAnsi="宋体" w:hint="eastAsia"/>
          <w:sz w:val="24"/>
        </w:rPr>
        <w:t>号，项目名称为“制定《</w:t>
      </w:r>
      <w:r>
        <w:rPr>
          <w:rFonts w:ascii="宋体" w:eastAsia="宋体" w:hAnsi="宋体" w:hint="eastAsia"/>
          <w:sz w:val="24"/>
        </w:rPr>
        <w:t>马铃薯小麦混合粉</w:t>
      </w:r>
      <w:r>
        <w:rPr>
          <w:rFonts w:ascii="宋体" w:eastAsia="宋体" w:hAnsi="宋体" w:hint="eastAsia"/>
          <w:sz w:val="24"/>
        </w:rPr>
        <w:t>》标准”。</w:t>
      </w:r>
    </w:p>
    <w:p w14:paraId="520147C0"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本标准起草单位：</w:t>
      </w:r>
      <w:r>
        <w:rPr>
          <w:rFonts w:ascii="宋体" w:eastAsia="宋体" w:hAnsi="宋体" w:hint="eastAsia"/>
          <w:sz w:val="24"/>
        </w:rPr>
        <w:t>农业农村</w:t>
      </w:r>
      <w:proofErr w:type="gramStart"/>
      <w:r>
        <w:rPr>
          <w:rFonts w:ascii="宋体" w:eastAsia="宋体" w:hAnsi="宋体" w:hint="eastAsia"/>
          <w:sz w:val="24"/>
        </w:rPr>
        <w:t>部食物</w:t>
      </w:r>
      <w:proofErr w:type="gramEnd"/>
      <w:r>
        <w:rPr>
          <w:rFonts w:ascii="宋体" w:eastAsia="宋体" w:hAnsi="宋体" w:hint="eastAsia"/>
          <w:sz w:val="24"/>
        </w:rPr>
        <w:t>与营养发展研究所、北京薯乐康农业科技有限公司、固安县参花面份有限公司、张家口弘</w:t>
      </w:r>
      <w:proofErr w:type="gramStart"/>
      <w:r>
        <w:rPr>
          <w:rFonts w:ascii="宋体" w:eastAsia="宋体" w:hAnsi="宋体" w:hint="eastAsia"/>
          <w:sz w:val="24"/>
        </w:rPr>
        <w:t>基农业</w:t>
      </w:r>
      <w:proofErr w:type="gramEnd"/>
      <w:r>
        <w:rPr>
          <w:rFonts w:ascii="宋体" w:eastAsia="宋体" w:hAnsi="宋体" w:hint="eastAsia"/>
          <w:sz w:val="24"/>
        </w:rPr>
        <w:t>科技开发有限责任公司、甘肃薯香园农业科技有限责任公司</w:t>
      </w:r>
    </w:p>
    <w:p w14:paraId="162A65F2" w14:textId="77777777" w:rsidR="00DD63EB" w:rsidRDefault="002C232E">
      <w:pPr>
        <w:spacing w:line="360" w:lineRule="auto"/>
        <w:ind w:firstLineChars="200" w:firstLine="480"/>
        <w:rPr>
          <w:rFonts w:ascii="宋体" w:hAnsi="宋体"/>
          <w:sz w:val="24"/>
        </w:rPr>
      </w:pPr>
      <w:r>
        <w:rPr>
          <w:rFonts w:ascii="宋体" w:eastAsia="宋体" w:hAnsi="宋体" w:hint="eastAsia"/>
          <w:sz w:val="24"/>
        </w:rPr>
        <w:t>本标准主要起草人：王秀丽、孙君茂、王莉红、金利利、张海</w:t>
      </w:r>
      <w:r>
        <w:rPr>
          <w:rFonts w:ascii="宋体" w:eastAsia="宋体" w:hAnsi="宋体" w:hint="eastAsia"/>
          <w:sz w:val="24"/>
        </w:rPr>
        <w:t>、杨新俊</w:t>
      </w:r>
      <w:r>
        <w:rPr>
          <w:rFonts w:ascii="宋体" w:eastAsia="宋体" w:hAnsi="宋体" w:hint="eastAsia"/>
          <w:sz w:val="24"/>
        </w:rPr>
        <w:t>等</w:t>
      </w:r>
      <w:r>
        <w:rPr>
          <w:rFonts w:ascii="宋体" w:eastAsia="宋体" w:hAnsi="宋体" w:hint="eastAsia"/>
          <w:sz w:val="24"/>
        </w:rPr>
        <w:t>。</w:t>
      </w:r>
    </w:p>
    <w:p w14:paraId="7395BC8B" w14:textId="77777777" w:rsidR="00DD63EB" w:rsidRDefault="002C232E">
      <w:pPr>
        <w:pStyle w:val="5"/>
        <w:numPr>
          <w:ilvl w:val="1"/>
          <w:numId w:val="2"/>
        </w:numPr>
      </w:pPr>
      <w:r>
        <w:rPr>
          <w:rFonts w:hint="eastAsia"/>
        </w:rPr>
        <w:t>标准制定的意义</w:t>
      </w:r>
    </w:p>
    <w:p w14:paraId="526F1336"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从</w:t>
      </w:r>
      <w:r>
        <w:rPr>
          <w:rFonts w:ascii="宋体" w:eastAsia="宋体" w:hAnsi="宋体" w:hint="eastAsia"/>
          <w:sz w:val="24"/>
        </w:rPr>
        <w:t>2015</w:t>
      </w:r>
      <w:r>
        <w:rPr>
          <w:rFonts w:ascii="宋体" w:eastAsia="宋体" w:hAnsi="宋体" w:hint="eastAsia"/>
          <w:sz w:val="24"/>
        </w:rPr>
        <w:t>年国家启动马铃薯主粮化战略以来，马铃薯主食化进程已经在我国全面推广。目前，已经开发了多种马铃薯全粉占比的马铃薯主食，而要进一步推进马铃薯主食产业化发展，是必须要一整套的质量评价和控制标准体系。目前，作为主要原料的马铃薯小麦混合粉的质量规格与评价标准仍然是空白。由于产</w:t>
      </w:r>
      <w:r>
        <w:rPr>
          <w:rFonts w:ascii="宋体" w:eastAsia="宋体" w:hAnsi="宋体" w:hint="eastAsia"/>
          <w:sz w:val="24"/>
        </w:rPr>
        <w:t>品标准缺乏，生产出的产品质量很难控制。制定马铃薯小麦混合粉的行业标准，有利于促进马铃薯小麦混合粉的标准化生产，提高和管控产品质量，推进马铃薯主食化战略的纵深发展。由此可见，制定马铃薯小麦混合粉的行业标准是我国马铃薯主粮化进程中的不可或缺工作，也是规范马铃薯小麦混合</w:t>
      </w:r>
      <w:proofErr w:type="gramStart"/>
      <w:r>
        <w:rPr>
          <w:rFonts w:ascii="宋体" w:eastAsia="宋体" w:hAnsi="宋体" w:hint="eastAsia"/>
          <w:sz w:val="24"/>
        </w:rPr>
        <w:t>粉及其</w:t>
      </w:r>
      <w:proofErr w:type="gramEnd"/>
      <w:r>
        <w:rPr>
          <w:rFonts w:ascii="宋体" w:eastAsia="宋体" w:hAnsi="宋体" w:hint="eastAsia"/>
          <w:sz w:val="24"/>
        </w:rPr>
        <w:t>主食产品质量的迫切需要。</w:t>
      </w:r>
    </w:p>
    <w:p w14:paraId="0A40DC0E"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同时，该标准的研制也是国家政策中关于完善营养法规政策标准体系的落脚点。目前，我国大力倡导营养标准体系建设，《国民营养计划（</w:t>
      </w:r>
      <w:r>
        <w:rPr>
          <w:rFonts w:ascii="宋体" w:eastAsia="宋体" w:hAnsi="宋体" w:hint="eastAsia"/>
          <w:sz w:val="24"/>
        </w:rPr>
        <w:t>2017-2030</w:t>
      </w:r>
      <w:r>
        <w:rPr>
          <w:rFonts w:ascii="宋体" w:eastAsia="宋体" w:hAnsi="宋体" w:hint="eastAsia"/>
          <w:sz w:val="24"/>
        </w:rPr>
        <w:t>）》（国办发〔</w:t>
      </w:r>
      <w:r>
        <w:rPr>
          <w:rFonts w:ascii="宋体" w:eastAsia="宋体" w:hAnsi="宋体" w:hint="eastAsia"/>
          <w:sz w:val="24"/>
        </w:rPr>
        <w:t>2017</w:t>
      </w:r>
      <w:r>
        <w:rPr>
          <w:rFonts w:ascii="宋体" w:eastAsia="宋体" w:hAnsi="宋体" w:hint="eastAsia"/>
          <w:sz w:val="24"/>
        </w:rPr>
        <w:t>〕</w:t>
      </w:r>
      <w:r>
        <w:rPr>
          <w:rFonts w:ascii="宋体" w:eastAsia="宋体" w:hAnsi="宋体" w:hint="eastAsia"/>
          <w:sz w:val="24"/>
        </w:rPr>
        <w:t>60</w:t>
      </w:r>
      <w:r>
        <w:rPr>
          <w:rFonts w:ascii="宋体" w:eastAsia="宋体" w:hAnsi="宋体" w:hint="eastAsia"/>
          <w:sz w:val="24"/>
        </w:rPr>
        <w:t>号）指出完善营养法规政策标准体系，“科学、及时制</w:t>
      </w:r>
      <w:r>
        <w:rPr>
          <w:rFonts w:ascii="宋体" w:eastAsia="宋体" w:hAnsi="宋体" w:hint="eastAsia"/>
          <w:sz w:val="24"/>
        </w:rPr>
        <w:t>定以食品安全为基础的营养健康标准”。本标准对于我国</w:t>
      </w:r>
      <w:r>
        <w:rPr>
          <w:rFonts w:ascii="宋体" w:eastAsia="宋体" w:hAnsi="宋体" w:hint="eastAsia"/>
          <w:sz w:val="24"/>
        </w:rPr>
        <w:t>马铃薯主食产业发展、主食产品</w:t>
      </w:r>
      <w:r>
        <w:rPr>
          <w:rFonts w:ascii="宋体" w:eastAsia="宋体" w:hAnsi="宋体" w:hint="eastAsia"/>
          <w:sz w:val="24"/>
        </w:rPr>
        <w:t>生产、监管具有重要意义。</w:t>
      </w:r>
    </w:p>
    <w:p w14:paraId="7546CBF7" w14:textId="77777777" w:rsidR="00DD63EB" w:rsidRDefault="002C232E">
      <w:pPr>
        <w:pStyle w:val="5"/>
        <w:numPr>
          <w:ilvl w:val="1"/>
          <w:numId w:val="2"/>
        </w:numPr>
      </w:pPr>
      <w:r>
        <w:rPr>
          <w:rFonts w:hint="eastAsia"/>
        </w:rPr>
        <w:lastRenderedPageBreak/>
        <w:t>工作过程</w:t>
      </w:r>
    </w:p>
    <w:p w14:paraId="380BBC7D"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在“农村品标准委员会”的指导下，针对我国现行马铃薯小麦混合粉质量评价体系缺乏统一的要求，从而造成了对马铃薯小麦混合粉质量评价标准不统一，评价体系不完善等问题，通过查阅大量资料和相关调研工作，收集相关产品或样品，确定了标准的制定原则和研究方案。</w:t>
      </w:r>
    </w:p>
    <w:p w14:paraId="354AE7B2"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依据马铃薯主食加工的原料现状，确定马铃薯小麦混合粉的原料。</w:t>
      </w:r>
    </w:p>
    <w:p w14:paraId="15A75ACD"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通过查阅马铃薯主食相关术语标准等文献资料，结合马铃薯主食中马铃薯全粉的营养贡献阈限，确定马铃薯</w:t>
      </w:r>
      <w:r>
        <w:rPr>
          <w:rFonts w:ascii="宋体" w:eastAsia="宋体" w:hAnsi="宋体" w:hint="eastAsia"/>
          <w:sz w:val="24"/>
        </w:rPr>
        <w:t>小麦混合粉的马铃薯全粉占比指标范围。</w:t>
      </w:r>
    </w:p>
    <w:p w14:paraId="50533AB8"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在研究的基础上形成了《马铃薯小麦混合粉》标准初稿，现将初稿</w:t>
      </w:r>
      <w:proofErr w:type="gramStart"/>
      <w:r>
        <w:rPr>
          <w:rFonts w:ascii="宋体" w:eastAsia="宋体" w:hAnsi="宋体" w:hint="eastAsia"/>
          <w:sz w:val="24"/>
        </w:rPr>
        <w:t>再相关</w:t>
      </w:r>
      <w:proofErr w:type="gramEnd"/>
      <w:r>
        <w:rPr>
          <w:rFonts w:ascii="宋体" w:eastAsia="宋体" w:hAnsi="宋体" w:hint="eastAsia"/>
          <w:sz w:val="24"/>
        </w:rPr>
        <w:t>专家和生产企业进行沟通和交流，收集反馈意见并进行修改，形成《马铃薯小麦混合粉》（征求意见稿）。</w:t>
      </w:r>
    </w:p>
    <w:p w14:paraId="2400934A" w14:textId="77777777" w:rsidR="00DD63EB" w:rsidRDefault="002C232E">
      <w:pPr>
        <w:pStyle w:val="4"/>
      </w:pPr>
      <w:r>
        <w:rPr>
          <w:rFonts w:hint="eastAsia"/>
        </w:rPr>
        <w:t xml:space="preserve">2 </w:t>
      </w:r>
      <w:r>
        <w:rPr>
          <w:rFonts w:hint="eastAsia"/>
        </w:rPr>
        <w:t>标准编制原则</w:t>
      </w:r>
    </w:p>
    <w:p w14:paraId="451F4DAE"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本标准编制的整个过程主要依据有利于规范马铃薯小麦混合粉的加工，保障马铃薯小麦混合</w:t>
      </w:r>
      <w:proofErr w:type="gramStart"/>
      <w:r>
        <w:rPr>
          <w:rFonts w:ascii="宋体" w:eastAsia="宋体" w:hAnsi="宋体" w:hint="eastAsia"/>
          <w:sz w:val="24"/>
        </w:rPr>
        <w:t>粉产品</w:t>
      </w:r>
      <w:proofErr w:type="gramEnd"/>
      <w:r>
        <w:rPr>
          <w:rFonts w:ascii="宋体" w:eastAsia="宋体" w:hAnsi="宋体" w:hint="eastAsia"/>
          <w:sz w:val="24"/>
        </w:rPr>
        <w:t>的质量，结合相关现行国家标准的制定规范以及企业生产实际情况，确定了《马铃薯小麦混合粉》的编制原则。</w:t>
      </w:r>
    </w:p>
    <w:p w14:paraId="5CF3F735" w14:textId="77777777" w:rsidR="00DD63EB" w:rsidRDefault="002C232E">
      <w:pPr>
        <w:pStyle w:val="5"/>
      </w:pPr>
      <w:r>
        <w:rPr>
          <w:rFonts w:hint="eastAsia"/>
        </w:rPr>
        <w:t xml:space="preserve">2.1 </w:t>
      </w:r>
      <w:r>
        <w:rPr>
          <w:rFonts w:hint="eastAsia"/>
        </w:rPr>
        <w:t>规范性原则</w:t>
      </w:r>
    </w:p>
    <w:p w14:paraId="165F94C8"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标准的编写依据</w:t>
      </w:r>
      <w:r>
        <w:rPr>
          <w:rFonts w:ascii="宋体" w:eastAsia="宋体" w:hAnsi="宋体" w:hint="eastAsia"/>
          <w:sz w:val="24"/>
        </w:rPr>
        <w:t>GB/T1.1-2009</w:t>
      </w:r>
      <w:r>
        <w:rPr>
          <w:rFonts w:ascii="宋体" w:eastAsia="宋体" w:hAnsi="宋体" w:hint="eastAsia"/>
          <w:sz w:val="24"/>
        </w:rPr>
        <w:t>《标准化工作导则第</w:t>
      </w:r>
      <w:r>
        <w:rPr>
          <w:rFonts w:ascii="宋体" w:eastAsia="宋体" w:hAnsi="宋体" w:hint="eastAsia"/>
          <w:sz w:val="24"/>
        </w:rPr>
        <w:t>1</w:t>
      </w:r>
      <w:r>
        <w:rPr>
          <w:rFonts w:ascii="宋体" w:eastAsia="宋体" w:hAnsi="宋体" w:hint="eastAsia"/>
          <w:sz w:val="24"/>
        </w:rPr>
        <w:t>部分：标准的结构和编写》规定的结</w:t>
      </w:r>
      <w:r>
        <w:rPr>
          <w:rFonts w:ascii="宋体" w:eastAsia="宋体" w:hAnsi="宋体" w:hint="eastAsia"/>
          <w:sz w:val="24"/>
        </w:rPr>
        <w:t>构、技术要素及表达规则进行起草。</w:t>
      </w:r>
    </w:p>
    <w:p w14:paraId="6BDB7F0A" w14:textId="77777777" w:rsidR="00DD63EB" w:rsidRDefault="002C232E">
      <w:pPr>
        <w:pStyle w:val="5"/>
      </w:pPr>
      <w:r>
        <w:rPr>
          <w:rFonts w:hint="eastAsia"/>
        </w:rPr>
        <w:t xml:space="preserve">2.2 </w:t>
      </w:r>
      <w:r>
        <w:rPr>
          <w:rFonts w:hint="eastAsia"/>
        </w:rPr>
        <w:t>适应性原则</w:t>
      </w:r>
    </w:p>
    <w:p w14:paraId="5EA5A049"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本标准是依据马铃薯小麦混合粉的原料复配、马铃薯全粉在其中的营养贡献和马铃薯主食产品加工需求制定。因此制定的标准适用于在我国范围内生产的马铃薯主食产品商业用马铃薯小麦混合粉的质量评价。</w:t>
      </w:r>
    </w:p>
    <w:p w14:paraId="130301E4" w14:textId="77777777" w:rsidR="00DD63EB" w:rsidRDefault="002C232E">
      <w:pPr>
        <w:pStyle w:val="5"/>
      </w:pPr>
      <w:r>
        <w:rPr>
          <w:rFonts w:hint="eastAsia"/>
        </w:rPr>
        <w:lastRenderedPageBreak/>
        <w:t xml:space="preserve">2.3 </w:t>
      </w:r>
      <w:r>
        <w:rPr>
          <w:rFonts w:hint="eastAsia"/>
        </w:rPr>
        <w:t>科学性、可操作性原则</w:t>
      </w:r>
    </w:p>
    <w:p w14:paraId="756C347C"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以我国目前马铃薯小麦混合粉的生产工艺及市场现有产品质量状况作为标准制修订依据的原则，从马铃薯小麦混合粉的原料指标、感官指标、营养贡献指标、混合均匀度指标和卫生指标进行了全面的分析和筛选，且选取的指标大多有现行国家标准的测定方法，使得所制定的标准</w:t>
      </w:r>
      <w:r>
        <w:rPr>
          <w:rFonts w:ascii="宋体" w:eastAsia="宋体" w:hAnsi="宋体" w:hint="eastAsia"/>
          <w:sz w:val="24"/>
        </w:rPr>
        <w:t>具有很好的系统性和可操作性</w:t>
      </w:r>
    </w:p>
    <w:p w14:paraId="53265CC7" w14:textId="77777777" w:rsidR="00DD63EB" w:rsidRDefault="002C232E">
      <w:pPr>
        <w:pStyle w:val="4"/>
      </w:pPr>
      <w:r>
        <w:rPr>
          <w:rFonts w:hint="eastAsia"/>
        </w:rPr>
        <w:t>3</w:t>
      </w:r>
      <w:r>
        <w:rPr>
          <w:rFonts w:hint="eastAsia"/>
        </w:rPr>
        <w:t>标准制定内容与论据</w:t>
      </w:r>
    </w:p>
    <w:p w14:paraId="01C20F25" w14:textId="77777777" w:rsidR="00DD63EB" w:rsidRDefault="002C232E">
      <w:pPr>
        <w:pStyle w:val="5"/>
      </w:pPr>
      <w:r>
        <w:rPr>
          <w:rFonts w:hint="eastAsia"/>
        </w:rPr>
        <w:t>3.1</w:t>
      </w:r>
      <w:r>
        <w:rPr>
          <w:rFonts w:hint="eastAsia"/>
        </w:rPr>
        <w:t>主要内容</w:t>
      </w:r>
    </w:p>
    <w:p w14:paraId="0CCBB18C"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制定的“马铃薯小麦粉”标准为行业性标准，其主要内容包括：范围、规范性引用文件、术语和定义、质量要求和卫生要求、检验方法、检验规则、标签、以及包装、运输、储存和保质期。</w:t>
      </w:r>
    </w:p>
    <w:p w14:paraId="7D66F6B0" w14:textId="77777777" w:rsidR="00DD63EB" w:rsidRDefault="002C232E">
      <w:pPr>
        <w:pStyle w:val="5"/>
      </w:pPr>
      <w:r>
        <w:rPr>
          <w:rFonts w:hint="eastAsia"/>
        </w:rPr>
        <w:t>3.2</w:t>
      </w:r>
      <w:r>
        <w:rPr>
          <w:rFonts w:hint="eastAsia"/>
        </w:rPr>
        <w:t>术语和定义</w:t>
      </w:r>
    </w:p>
    <w:p w14:paraId="7212C2EC" w14:textId="77777777" w:rsidR="00DD63EB" w:rsidRDefault="002C232E">
      <w:pPr>
        <w:pStyle w:val="a0"/>
        <w:numPr>
          <w:ilvl w:val="1"/>
          <w:numId w:val="0"/>
        </w:numPr>
        <w:spacing w:before="156" w:after="156"/>
        <w:ind w:firstLineChars="200" w:firstLine="420"/>
      </w:pPr>
      <w:r>
        <w:rPr>
          <w:rFonts w:hint="eastAsia"/>
        </w:rPr>
        <w:t>马铃薯小麦混合粉</w:t>
      </w:r>
    </w:p>
    <w:p w14:paraId="54CCD889"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采用</w:t>
      </w:r>
      <w:r>
        <w:rPr>
          <w:rFonts w:ascii="宋体" w:eastAsia="宋体" w:hAnsi="宋体" w:hint="eastAsia"/>
          <w:sz w:val="24"/>
        </w:rPr>
        <w:t>通用小麦粉或专用小麦粉与马铃薯全粉为原料，</w:t>
      </w:r>
      <w:r>
        <w:rPr>
          <w:rFonts w:ascii="宋体" w:eastAsia="宋体" w:hAnsi="宋体" w:hint="eastAsia"/>
          <w:sz w:val="24"/>
        </w:rPr>
        <w:t>按照一定的比例混合的马铃薯小麦混合粉。</w:t>
      </w:r>
    </w:p>
    <w:p w14:paraId="519BE2E6" w14:textId="77777777" w:rsidR="00DD63EB" w:rsidRDefault="002C232E">
      <w:pPr>
        <w:pStyle w:val="5"/>
      </w:pPr>
      <w:r>
        <w:rPr>
          <w:rFonts w:hint="eastAsia"/>
        </w:rPr>
        <w:t>3.3</w:t>
      </w:r>
      <w:r>
        <w:rPr>
          <w:rFonts w:hint="eastAsia"/>
        </w:rPr>
        <w:t>技术要求</w:t>
      </w:r>
    </w:p>
    <w:p w14:paraId="645C774E" w14:textId="77777777" w:rsidR="00DD63EB" w:rsidRDefault="002C232E">
      <w:pPr>
        <w:pStyle w:val="a0"/>
        <w:numPr>
          <w:ilvl w:val="1"/>
          <w:numId w:val="0"/>
        </w:numPr>
        <w:spacing w:before="156" w:after="156"/>
      </w:pPr>
      <w:r>
        <w:rPr>
          <w:rFonts w:hint="eastAsia"/>
        </w:rPr>
        <w:t>3.3.1</w:t>
      </w:r>
      <w:r>
        <w:rPr>
          <w:rFonts w:hint="eastAsia"/>
        </w:rPr>
        <w:t>混配原料</w:t>
      </w:r>
    </w:p>
    <w:p w14:paraId="4A59DECD"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马铃薯全粉（包括雪花粉与颗粒粉），小麦粉，按照食用面粉规定的添加成分。</w:t>
      </w:r>
    </w:p>
    <w:p w14:paraId="74C534CA" w14:textId="77777777" w:rsidR="00DD63EB" w:rsidRDefault="002C232E">
      <w:pPr>
        <w:pStyle w:val="a0"/>
        <w:numPr>
          <w:ilvl w:val="1"/>
          <w:numId w:val="0"/>
        </w:numPr>
        <w:spacing w:before="156" w:after="156"/>
      </w:pPr>
      <w:r>
        <w:rPr>
          <w:rFonts w:hint="eastAsia"/>
        </w:rPr>
        <w:t>3.3.2</w:t>
      </w:r>
      <w:r>
        <w:rPr>
          <w:rFonts w:hint="eastAsia"/>
        </w:rPr>
        <w:t>混配比例</w:t>
      </w:r>
    </w:p>
    <w:p w14:paraId="4C870CD0" w14:textId="77777777" w:rsidR="00DD63EB" w:rsidRDefault="002C232E">
      <w:pPr>
        <w:pStyle w:val="a5"/>
        <w:ind w:firstLine="480"/>
      </w:pPr>
      <w:r>
        <w:rPr>
          <w:rFonts w:hAnsi="宋体" w:cstheme="minorBidi" w:hint="eastAsia"/>
          <w:kern w:val="2"/>
          <w:sz w:val="24"/>
          <w:szCs w:val="24"/>
        </w:rPr>
        <w:t>按</w:t>
      </w:r>
      <w:r>
        <w:rPr>
          <w:rFonts w:hAnsi="宋体" w:cstheme="minorBidi" w:hint="eastAsia"/>
          <w:kern w:val="2"/>
          <w:sz w:val="24"/>
          <w:szCs w:val="24"/>
        </w:rPr>
        <w:t>NY/T 3100-2017</w:t>
      </w:r>
      <w:r>
        <w:rPr>
          <w:rFonts w:hAnsi="宋体" w:cstheme="minorBidi" w:hint="eastAsia"/>
          <w:kern w:val="2"/>
          <w:sz w:val="24"/>
          <w:szCs w:val="24"/>
        </w:rPr>
        <w:t>规定，马铃薯全粉供能占比不低于</w:t>
      </w:r>
      <w:r>
        <w:rPr>
          <w:rFonts w:hAnsi="宋体" w:cstheme="minorBidi" w:hint="eastAsia"/>
          <w:kern w:val="2"/>
          <w:sz w:val="24"/>
          <w:szCs w:val="24"/>
        </w:rPr>
        <w:t>15%</w:t>
      </w:r>
      <w:r>
        <w:rPr>
          <w:rFonts w:hAnsi="宋体" w:cstheme="minorBidi" w:hint="eastAsia"/>
          <w:kern w:val="2"/>
          <w:sz w:val="24"/>
          <w:szCs w:val="24"/>
        </w:rPr>
        <w:t>。</w:t>
      </w:r>
    </w:p>
    <w:p w14:paraId="740362E6" w14:textId="77777777" w:rsidR="00DD63EB" w:rsidRDefault="002C232E">
      <w:pPr>
        <w:pStyle w:val="a0"/>
        <w:numPr>
          <w:ilvl w:val="1"/>
          <w:numId w:val="0"/>
        </w:numPr>
        <w:spacing w:before="156" w:after="156"/>
      </w:pPr>
      <w:r>
        <w:rPr>
          <w:rFonts w:hint="eastAsia"/>
        </w:rPr>
        <w:t>3.3.</w:t>
      </w:r>
      <w:r>
        <w:rPr>
          <w:rFonts w:hint="eastAsia"/>
        </w:rPr>
        <w:t>3</w:t>
      </w:r>
      <w:r>
        <w:rPr>
          <w:rFonts w:hint="eastAsia"/>
        </w:rPr>
        <w:t>卫生指标</w:t>
      </w:r>
    </w:p>
    <w:p w14:paraId="40F5FB81"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按照</w:t>
      </w:r>
      <w:r>
        <w:rPr>
          <w:rFonts w:ascii="宋体" w:eastAsia="宋体" w:hAnsi="宋体" w:hint="eastAsia"/>
          <w:sz w:val="24"/>
        </w:rPr>
        <w:t>GB2715</w:t>
      </w:r>
      <w:r>
        <w:rPr>
          <w:rFonts w:ascii="宋体" w:eastAsia="宋体" w:hAnsi="宋体" w:hint="eastAsia"/>
          <w:sz w:val="24"/>
        </w:rPr>
        <w:t>和国家有关标准及规定执行。</w:t>
      </w:r>
    </w:p>
    <w:p w14:paraId="37BE57B5" w14:textId="77777777" w:rsidR="00DD63EB" w:rsidRDefault="002C232E">
      <w:pPr>
        <w:pStyle w:val="5"/>
      </w:pPr>
      <w:r>
        <w:rPr>
          <w:rFonts w:hint="eastAsia"/>
        </w:rPr>
        <w:lastRenderedPageBreak/>
        <w:t>3.4</w:t>
      </w:r>
      <w:r>
        <w:rPr>
          <w:rFonts w:hint="eastAsia"/>
        </w:rPr>
        <w:t>检验方法</w:t>
      </w:r>
    </w:p>
    <w:p w14:paraId="1C379E69" w14:textId="77777777" w:rsidR="00DD63EB" w:rsidRDefault="002C232E">
      <w:pPr>
        <w:pStyle w:val="a0"/>
        <w:numPr>
          <w:ilvl w:val="1"/>
          <w:numId w:val="0"/>
        </w:numPr>
        <w:spacing w:before="156" w:after="156"/>
      </w:pPr>
      <w:r>
        <w:rPr>
          <w:rFonts w:hint="eastAsia"/>
        </w:rPr>
        <w:t>3.4.1</w:t>
      </w:r>
      <w:r>
        <w:rPr>
          <w:rFonts w:hint="eastAsia"/>
        </w:rPr>
        <w:t>马铃薯全粉占比的检验</w:t>
      </w:r>
    </w:p>
    <w:p w14:paraId="1CC4EBF4"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采用</w:t>
      </w:r>
      <w:r>
        <w:rPr>
          <w:rFonts w:ascii="宋体" w:eastAsia="宋体" w:hAnsi="宋体" w:hint="eastAsia"/>
          <w:sz w:val="24"/>
        </w:rPr>
        <w:t>“检测马铃薯主食粉或马铃薯主食中马铃薯粉含量的方法”（专利号：</w:t>
      </w:r>
      <w:r>
        <w:rPr>
          <w:rFonts w:ascii="宋体" w:eastAsia="宋体" w:hAnsi="宋体" w:hint="eastAsia"/>
          <w:sz w:val="24"/>
        </w:rPr>
        <w:t>ZL201611169113.X</w:t>
      </w:r>
      <w:r>
        <w:rPr>
          <w:rFonts w:ascii="宋体" w:eastAsia="宋体" w:hAnsi="宋体" w:hint="eastAsia"/>
          <w:sz w:val="24"/>
        </w:rPr>
        <w:t>）</w:t>
      </w:r>
      <w:r>
        <w:rPr>
          <w:rFonts w:ascii="宋体" w:eastAsia="宋体" w:hAnsi="宋体" w:hint="eastAsia"/>
          <w:sz w:val="24"/>
        </w:rPr>
        <w:t>，</w:t>
      </w:r>
      <w:proofErr w:type="gramStart"/>
      <w:r>
        <w:rPr>
          <w:rFonts w:ascii="宋体" w:eastAsia="宋体" w:hAnsi="宋体" w:hint="eastAsia"/>
          <w:sz w:val="24"/>
        </w:rPr>
        <w:t>检测薯麦混合</w:t>
      </w:r>
      <w:proofErr w:type="gramEnd"/>
      <w:r>
        <w:rPr>
          <w:rFonts w:ascii="宋体" w:eastAsia="宋体" w:hAnsi="宋体" w:hint="eastAsia"/>
          <w:sz w:val="24"/>
        </w:rPr>
        <w:t>粉中的马铃薯全粉占比。</w:t>
      </w:r>
    </w:p>
    <w:p w14:paraId="499C9FE5" w14:textId="77777777" w:rsidR="00DD63EB" w:rsidRDefault="002C232E">
      <w:pPr>
        <w:pStyle w:val="a0"/>
        <w:numPr>
          <w:ilvl w:val="1"/>
          <w:numId w:val="0"/>
        </w:numPr>
        <w:spacing w:before="156" w:after="156"/>
      </w:pPr>
      <w:r>
        <w:rPr>
          <w:rFonts w:hint="eastAsia"/>
        </w:rPr>
        <w:t>3.4.2</w:t>
      </w:r>
      <w:r>
        <w:rPr>
          <w:rFonts w:hint="eastAsia"/>
        </w:rPr>
        <w:t>混合匀度检验</w:t>
      </w:r>
    </w:p>
    <w:p w14:paraId="18AEED22"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混合均匀度仅对生产厂进行控制，采用</w:t>
      </w:r>
      <w:r>
        <w:rPr>
          <w:rFonts w:ascii="宋体" w:eastAsia="宋体" w:hAnsi="宋体" w:hint="eastAsia"/>
          <w:sz w:val="24"/>
        </w:rPr>
        <w:t>“检测马铃薯主食粉或马铃薯主食中马铃薯粉含量的方法”（专利号：</w:t>
      </w:r>
      <w:r>
        <w:rPr>
          <w:rFonts w:ascii="宋体" w:eastAsia="宋体" w:hAnsi="宋体" w:hint="eastAsia"/>
          <w:sz w:val="24"/>
        </w:rPr>
        <w:t>ZL201611169113.X</w:t>
      </w:r>
      <w:r>
        <w:rPr>
          <w:rFonts w:ascii="宋体" w:eastAsia="宋体" w:hAnsi="宋体" w:hint="eastAsia"/>
          <w:sz w:val="24"/>
        </w:rPr>
        <w:t>），</w:t>
      </w:r>
      <w:r>
        <w:rPr>
          <w:rFonts w:ascii="宋体" w:eastAsia="宋体" w:hAnsi="宋体" w:hint="eastAsia"/>
          <w:sz w:val="24"/>
        </w:rPr>
        <w:t>检测各抽检单位产品中马铃薯全粉占比。</w:t>
      </w:r>
    </w:p>
    <w:p w14:paraId="09CBFC22" w14:textId="77777777" w:rsidR="00DD63EB" w:rsidRDefault="002C232E">
      <w:pPr>
        <w:pStyle w:val="a"/>
        <w:numPr>
          <w:ilvl w:val="0"/>
          <w:numId w:val="0"/>
        </w:numPr>
        <w:spacing w:before="312" w:after="312"/>
      </w:pPr>
      <w:r>
        <w:rPr>
          <w:rFonts w:hint="eastAsia"/>
        </w:rPr>
        <w:t>3.4.3</w:t>
      </w:r>
      <w:r>
        <w:rPr>
          <w:rFonts w:hint="eastAsia"/>
        </w:rPr>
        <w:t>检验规则</w:t>
      </w:r>
    </w:p>
    <w:p w14:paraId="71946277" w14:textId="77777777" w:rsidR="00DD63EB" w:rsidRDefault="002C232E">
      <w:pPr>
        <w:pStyle w:val="a0"/>
        <w:numPr>
          <w:ilvl w:val="1"/>
          <w:numId w:val="0"/>
        </w:numPr>
        <w:spacing w:before="156" w:after="156"/>
      </w:pPr>
      <w:r>
        <w:rPr>
          <w:rFonts w:hint="eastAsia"/>
        </w:rPr>
        <w:t>3.4.3.1</w:t>
      </w:r>
      <w:r>
        <w:rPr>
          <w:rFonts w:hint="eastAsia"/>
        </w:rPr>
        <w:t>抽样</w:t>
      </w:r>
    </w:p>
    <w:p w14:paraId="64925F52"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抽样方法按</w:t>
      </w:r>
      <w:r>
        <w:rPr>
          <w:rFonts w:ascii="宋体" w:eastAsia="宋体" w:hAnsi="宋体" w:hint="eastAsia"/>
          <w:sz w:val="24"/>
        </w:rPr>
        <w:t>GB5491</w:t>
      </w:r>
      <w:r>
        <w:rPr>
          <w:rFonts w:ascii="宋体" w:eastAsia="宋体" w:hAnsi="宋体" w:hint="eastAsia"/>
          <w:sz w:val="24"/>
        </w:rPr>
        <w:t>执行</w:t>
      </w:r>
    </w:p>
    <w:p w14:paraId="5E5FC2CD" w14:textId="77777777" w:rsidR="00DD63EB" w:rsidRDefault="002C232E">
      <w:pPr>
        <w:pStyle w:val="a0"/>
        <w:numPr>
          <w:ilvl w:val="1"/>
          <w:numId w:val="0"/>
        </w:numPr>
        <w:spacing w:before="156" w:after="156"/>
      </w:pPr>
      <w:r>
        <w:rPr>
          <w:rFonts w:hint="eastAsia"/>
        </w:rPr>
        <w:t>3.4.3.2</w:t>
      </w:r>
      <w:r>
        <w:rPr>
          <w:rFonts w:hint="eastAsia"/>
        </w:rPr>
        <w:t>产品组批</w:t>
      </w:r>
    </w:p>
    <w:p w14:paraId="1AC10F89"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同原料、同工艺、同设备、同</w:t>
      </w:r>
      <w:r>
        <w:rPr>
          <w:rFonts w:ascii="宋体" w:eastAsia="宋体" w:hAnsi="宋体" w:hint="eastAsia"/>
          <w:sz w:val="24"/>
        </w:rPr>
        <w:t>批</w:t>
      </w:r>
      <w:r>
        <w:rPr>
          <w:rFonts w:ascii="宋体" w:eastAsia="宋体" w:hAnsi="宋体" w:hint="eastAsia"/>
          <w:sz w:val="24"/>
        </w:rPr>
        <w:t>次加工的同种产品为一批</w:t>
      </w:r>
    </w:p>
    <w:p w14:paraId="7B7DC52C" w14:textId="77777777" w:rsidR="00DD63EB" w:rsidRDefault="002C232E">
      <w:pPr>
        <w:pStyle w:val="a0"/>
        <w:numPr>
          <w:ilvl w:val="1"/>
          <w:numId w:val="0"/>
        </w:numPr>
        <w:spacing w:before="156" w:after="156"/>
      </w:pPr>
      <w:r>
        <w:rPr>
          <w:rFonts w:hint="eastAsia"/>
        </w:rPr>
        <w:t>3.4.3.3</w:t>
      </w:r>
      <w:r>
        <w:rPr>
          <w:rFonts w:hint="eastAsia"/>
        </w:rPr>
        <w:t>出厂检验</w:t>
      </w:r>
    </w:p>
    <w:p w14:paraId="230210FD" w14:textId="77777777" w:rsidR="00DD63EB" w:rsidRDefault="002C232E">
      <w:pPr>
        <w:pStyle w:val="a0"/>
        <w:numPr>
          <w:ilvl w:val="1"/>
          <w:numId w:val="0"/>
        </w:numPr>
        <w:spacing w:before="156" w:after="156"/>
        <w:rPr>
          <w:rFonts w:ascii="宋体" w:eastAsia="宋体" w:hAnsi="宋体" w:cs="宋体"/>
          <w14:textFill>
            <w14:gradFill>
              <w14:gsLst>
                <w14:gs w14:pos="0">
                  <w14:srgbClr w14:val="007BD3"/>
                </w14:gs>
                <w14:gs w14:pos="100000">
                  <w14:srgbClr w14:val="034373"/>
                </w14:gs>
              </w14:gsLst>
              <w14:lin w14:ang="0" w14:scaled="0"/>
            </w14:gradFill>
          </w14:textFill>
        </w:rPr>
      </w:pPr>
      <w:r>
        <w:rPr>
          <w:rFonts w:hint="eastAsia"/>
        </w:rPr>
        <w:t>3.4.3.3</w:t>
      </w:r>
      <w:r>
        <w:rPr>
          <w:rFonts w:hint="eastAsia"/>
        </w:rPr>
        <w:t xml:space="preserve">.1 </w:t>
      </w:r>
      <w:r>
        <w:rPr>
          <w:rFonts w:hint="eastAsia"/>
        </w:rPr>
        <w:t>出厂检验</w:t>
      </w:r>
      <w:r>
        <w:rPr>
          <w:rFonts w:hint="eastAsia"/>
        </w:rPr>
        <w:t>项目</w:t>
      </w:r>
    </w:p>
    <w:p w14:paraId="215271E2"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感官要求、净含量、水分、灰分、粗细、含沙量、磁性金属物、为</w:t>
      </w:r>
      <w:r>
        <w:rPr>
          <w:rFonts w:ascii="宋体" w:eastAsia="宋体" w:hAnsi="宋体" w:hint="eastAsia"/>
          <w:sz w:val="24"/>
        </w:rPr>
        <w:t>每批必检项目，其它项目作不定期抽检。</w:t>
      </w:r>
    </w:p>
    <w:p w14:paraId="72E7B8E0" w14:textId="77777777" w:rsidR="00DD63EB" w:rsidRDefault="002C232E">
      <w:pPr>
        <w:spacing w:line="440" w:lineRule="exact"/>
        <w:ind w:firstLineChars="200" w:firstLine="480"/>
        <w:outlineLvl w:val="0"/>
        <w:rPr>
          <w:rFonts w:hAnsi="Times New Roman" w:cs="Times New Roman"/>
          <w:szCs w:val="22"/>
        </w:rPr>
      </w:pPr>
      <w:r>
        <w:rPr>
          <w:rFonts w:ascii="宋体" w:eastAsia="宋体" w:hAnsi="宋体" w:hint="eastAsia"/>
          <w:sz w:val="24"/>
        </w:rPr>
        <w:t>每批出厂产品应进行检验</w:t>
      </w:r>
      <w:r>
        <w:rPr>
          <w:rFonts w:ascii="宋体" w:eastAsia="宋体" w:hAnsi="宋体" w:hint="eastAsia"/>
          <w:sz w:val="24"/>
        </w:rPr>
        <w:t>，</w:t>
      </w:r>
      <w:r>
        <w:rPr>
          <w:rFonts w:ascii="宋体" w:eastAsia="宋体" w:hAnsi="宋体" w:hint="eastAsia"/>
          <w:sz w:val="24"/>
        </w:rPr>
        <w:t>合格后出具检验报告方可出厂。</w:t>
      </w:r>
    </w:p>
    <w:p w14:paraId="3EAC580B" w14:textId="77777777" w:rsidR="00DD63EB" w:rsidRDefault="00DD63EB">
      <w:pPr>
        <w:pStyle w:val="a5"/>
        <w:ind w:firstLineChars="0" w:firstLine="0"/>
        <w:rPr>
          <w:rFonts w:hAnsi="宋体" w:cs="宋体"/>
          <w:szCs w:val="21"/>
          <w14:textFill>
            <w14:gradFill>
              <w14:gsLst>
                <w14:gs w14:pos="0">
                  <w14:srgbClr w14:val="007BD3"/>
                </w14:gs>
                <w14:gs w14:pos="100000">
                  <w14:srgbClr w14:val="034373"/>
                </w14:gs>
              </w14:gsLst>
              <w14:lin w14:ang="0" w14:scaled="0"/>
            </w14:gradFill>
          </w14:textFill>
        </w:rPr>
      </w:pPr>
    </w:p>
    <w:p w14:paraId="74BA82C6" w14:textId="77777777" w:rsidR="00DD63EB" w:rsidRDefault="002C232E">
      <w:pPr>
        <w:pStyle w:val="a5"/>
        <w:ind w:firstLineChars="0" w:firstLine="0"/>
        <w:rPr>
          <w:rFonts w:hAnsi="宋体" w:cs="宋体"/>
          <w:szCs w:val="21"/>
          <w14:textFill>
            <w14:gradFill>
              <w14:gsLst>
                <w14:gs w14:pos="0">
                  <w14:srgbClr w14:val="007BD3"/>
                </w14:gs>
                <w14:gs w14:pos="100000">
                  <w14:srgbClr w14:val="034373"/>
                </w14:gs>
              </w14:gsLst>
              <w14:lin w14:ang="0" w14:scaled="0"/>
            </w14:gradFill>
          </w14:textFill>
        </w:rPr>
      </w:pPr>
      <w:r>
        <w:rPr>
          <w:rFonts w:ascii="黑体" w:eastAsia="黑体" w:hint="eastAsia"/>
          <w:szCs w:val="21"/>
        </w:rPr>
        <w:t xml:space="preserve">3.4.3.3.2 </w:t>
      </w:r>
      <w:r>
        <w:rPr>
          <w:rFonts w:ascii="黑体" w:eastAsia="黑体" w:hint="eastAsia"/>
          <w:szCs w:val="21"/>
        </w:rPr>
        <w:t>型式检验</w:t>
      </w:r>
    </w:p>
    <w:p w14:paraId="3237CB89"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型式检验项目为本标准技术要求中</w:t>
      </w:r>
      <w:r>
        <w:rPr>
          <w:rFonts w:ascii="宋体" w:eastAsia="宋体" w:hAnsi="宋体" w:hint="eastAsia"/>
          <w:sz w:val="24"/>
        </w:rPr>
        <w:t>4.5</w:t>
      </w:r>
      <w:r>
        <w:rPr>
          <w:rFonts w:ascii="宋体" w:eastAsia="宋体" w:hAnsi="宋体" w:hint="eastAsia"/>
          <w:sz w:val="24"/>
        </w:rPr>
        <w:t>、</w:t>
      </w:r>
      <w:r>
        <w:rPr>
          <w:rFonts w:ascii="宋体" w:eastAsia="宋体" w:hAnsi="宋体" w:hint="eastAsia"/>
          <w:sz w:val="24"/>
        </w:rPr>
        <w:t>4.6</w:t>
      </w:r>
      <w:r>
        <w:rPr>
          <w:rFonts w:ascii="宋体" w:eastAsia="宋体" w:hAnsi="宋体" w:hint="eastAsia"/>
          <w:sz w:val="24"/>
        </w:rPr>
        <w:t>的全部项目。</w:t>
      </w:r>
    </w:p>
    <w:p w14:paraId="218805F0" w14:textId="77777777" w:rsidR="00DD63EB" w:rsidRDefault="002C232E">
      <w:pPr>
        <w:pStyle w:val="a0"/>
        <w:numPr>
          <w:ilvl w:val="1"/>
          <w:numId w:val="0"/>
        </w:numPr>
        <w:spacing w:before="156" w:after="156"/>
      </w:pPr>
      <w:r>
        <w:rPr>
          <w:rFonts w:hint="eastAsia"/>
        </w:rPr>
        <w:t>3.4.3.4</w:t>
      </w:r>
      <w:r>
        <w:rPr>
          <w:rFonts w:hint="eastAsia"/>
        </w:rPr>
        <w:t>判定规则</w:t>
      </w:r>
    </w:p>
    <w:p w14:paraId="7A588061"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检验项目全部符合本标准要求时，判为合格品</w:t>
      </w:r>
      <w:r>
        <w:rPr>
          <w:rFonts w:ascii="宋体" w:eastAsia="宋体" w:hAnsi="宋体" w:hint="eastAsia"/>
          <w:sz w:val="24"/>
        </w:rPr>
        <w:t>。</w:t>
      </w:r>
      <w:r>
        <w:rPr>
          <w:rFonts w:ascii="宋体" w:eastAsia="宋体" w:hAnsi="宋体" w:hint="eastAsia"/>
          <w:sz w:val="24"/>
        </w:rPr>
        <w:t>检验项目不符合本标准时，对不合格项目从该批次产品中加倍抽样复检。复检结果仍有不合格项，判定该批产品为不合格。</w:t>
      </w:r>
    </w:p>
    <w:p w14:paraId="30421249"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马铃薯粉的实测含量低于本标准规定的范围低限时，不能声称为马铃薯小麦混合粉。</w:t>
      </w:r>
    </w:p>
    <w:p w14:paraId="71C43689" w14:textId="77777777" w:rsidR="00DD63EB" w:rsidRDefault="002C232E">
      <w:pPr>
        <w:pStyle w:val="5"/>
      </w:pPr>
      <w:r>
        <w:rPr>
          <w:rFonts w:hint="eastAsia"/>
        </w:rPr>
        <w:lastRenderedPageBreak/>
        <w:t>3.5</w:t>
      </w:r>
      <w:r>
        <w:rPr>
          <w:rFonts w:hint="eastAsia"/>
        </w:rPr>
        <w:t>标志、包装、贮存、运输</w:t>
      </w:r>
    </w:p>
    <w:p w14:paraId="0F6D1292" w14:textId="77777777" w:rsidR="00DD63EB" w:rsidRDefault="002C232E">
      <w:pPr>
        <w:pStyle w:val="a0"/>
        <w:numPr>
          <w:ilvl w:val="1"/>
          <w:numId w:val="0"/>
        </w:numPr>
        <w:spacing w:before="156" w:after="156"/>
      </w:pPr>
      <w:r>
        <w:rPr>
          <w:rFonts w:hint="eastAsia"/>
        </w:rPr>
        <w:t>3.5.1</w:t>
      </w:r>
      <w:r>
        <w:t>标志</w:t>
      </w:r>
    </w:p>
    <w:p w14:paraId="666E149F" w14:textId="77777777" w:rsidR="00DD63EB" w:rsidRDefault="002C232E">
      <w:pPr>
        <w:spacing w:line="440" w:lineRule="exact"/>
        <w:ind w:firstLineChars="200" w:firstLine="420"/>
        <w:outlineLvl w:val="0"/>
        <w:rPr>
          <w:rFonts w:ascii="宋体" w:eastAsia="宋体" w:hAnsi="宋体"/>
          <w:sz w:val="24"/>
        </w:rPr>
      </w:pPr>
      <w:r>
        <w:rPr>
          <w:rFonts w:ascii="黑体" w:eastAsia="黑体" w:hAnsi="Times New Roman" w:cs="Times New Roman" w:hint="eastAsia"/>
          <w:kern w:val="0"/>
          <w:szCs w:val="21"/>
        </w:rPr>
        <w:t xml:space="preserve">7.1.1 </w:t>
      </w:r>
      <w:r>
        <w:rPr>
          <w:rFonts w:ascii="宋体" w:eastAsia="宋体" w:hAnsi="宋体" w:hint="eastAsia"/>
          <w:sz w:val="24"/>
        </w:rPr>
        <w:t>应在包装物上或随行文件中注明产品的名称（马铃薯小麦混合粉，或简称：</w:t>
      </w:r>
      <w:proofErr w:type="gramStart"/>
      <w:r>
        <w:rPr>
          <w:rFonts w:ascii="宋体" w:eastAsia="宋体" w:hAnsi="宋体" w:hint="eastAsia"/>
          <w:sz w:val="24"/>
        </w:rPr>
        <w:t>薯麦混合</w:t>
      </w:r>
      <w:proofErr w:type="gramEnd"/>
      <w:r>
        <w:rPr>
          <w:rFonts w:ascii="宋体" w:eastAsia="宋体" w:hAnsi="宋体" w:hint="eastAsia"/>
          <w:sz w:val="24"/>
        </w:rPr>
        <w:t>粉）、执行标准（本标准）号、产地、生产年份。</w:t>
      </w:r>
    </w:p>
    <w:p w14:paraId="281A10B3" w14:textId="77777777" w:rsidR="00DD63EB" w:rsidRDefault="002C232E">
      <w:pPr>
        <w:spacing w:line="440" w:lineRule="exact"/>
        <w:ind w:firstLineChars="200" w:firstLine="420"/>
        <w:outlineLvl w:val="0"/>
        <w:rPr>
          <w:rFonts w:ascii="宋体" w:eastAsia="宋体" w:hAnsi="宋体"/>
          <w:sz w:val="24"/>
        </w:rPr>
      </w:pPr>
      <w:r>
        <w:rPr>
          <w:rFonts w:ascii="黑体" w:eastAsia="黑体" w:hAnsi="Times New Roman" w:cs="Times New Roman" w:hint="eastAsia"/>
          <w:kern w:val="0"/>
          <w:szCs w:val="21"/>
        </w:rPr>
        <w:t xml:space="preserve">7.1.2 </w:t>
      </w:r>
      <w:r>
        <w:rPr>
          <w:rFonts w:ascii="宋体" w:eastAsia="宋体" w:hAnsi="宋体" w:hint="eastAsia"/>
          <w:sz w:val="24"/>
        </w:rPr>
        <w:t>应以不低于某值的形式表示马铃薯全粉的供能比例。</w:t>
      </w:r>
    </w:p>
    <w:p w14:paraId="0AFF5CF3" w14:textId="77777777" w:rsidR="00DD63EB" w:rsidRDefault="002C232E">
      <w:pPr>
        <w:spacing w:line="440" w:lineRule="exact"/>
        <w:ind w:firstLineChars="200" w:firstLine="420"/>
        <w:outlineLvl w:val="0"/>
        <w:rPr>
          <w:rFonts w:ascii="宋体" w:eastAsia="宋体" w:hAnsi="宋体"/>
          <w:sz w:val="24"/>
        </w:rPr>
      </w:pPr>
      <w:r>
        <w:rPr>
          <w:rFonts w:ascii="黑体" w:eastAsia="黑体" w:hAnsi="Times New Roman" w:cs="Times New Roman" w:hint="eastAsia"/>
          <w:kern w:val="0"/>
          <w:szCs w:val="21"/>
        </w:rPr>
        <w:t xml:space="preserve">7.1.3 </w:t>
      </w:r>
      <w:r>
        <w:rPr>
          <w:rFonts w:ascii="宋体" w:eastAsia="宋体" w:hAnsi="宋体" w:hint="eastAsia"/>
          <w:sz w:val="24"/>
        </w:rPr>
        <w:t>产品保质期应不低于</w:t>
      </w:r>
      <w:r>
        <w:rPr>
          <w:rFonts w:ascii="宋体" w:eastAsia="宋体" w:hAnsi="宋体" w:hint="eastAsia"/>
          <w:sz w:val="24"/>
        </w:rPr>
        <w:t>3</w:t>
      </w:r>
      <w:r>
        <w:rPr>
          <w:rFonts w:ascii="宋体" w:eastAsia="宋体" w:hAnsi="宋体" w:hint="eastAsia"/>
          <w:sz w:val="24"/>
        </w:rPr>
        <w:t>个月。</w:t>
      </w:r>
    </w:p>
    <w:p w14:paraId="019D996B" w14:textId="77777777" w:rsidR="00DD63EB" w:rsidRDefault="002C232E">
      <w:pPr>
        <w:pStyle w:val="a0"/>
        <w:numPr>
          <w:ilvl w:val="1"/>
          <w:numId w:val="0"/>
        </w:numPr>
        <w:spacing w:before="156" w:after="156"/>
      </w:pPr>
      <w:r>
        <w:rPr>
          <w:rFonts w:hint="eastAsia"/>
        </w:rPr>
        <w:t>3.5.2</w:t>
      </w:r>
      <w:r>
        <w:t>包装</w:t>
      </w:r>
      <w:r>
        <w:rPr>
          <w:rFonts w:hint="eastAsia"/>
        </w:rPr>
        <w:t>、贮存</w:t>
      </w:r>
      <w:r>
        <w:t>和运输</w:t>
      </w:r>
    </w:p>
    <w:p w14:paraId="161347C2" w14:textId="77777777" w:rsidR="00DD63EB" w:rsidRDefault="002C232E">
      <w:pPr>
        <w:spacing w:line="440" w:lineRule="exact"/>
        <w:ind w:firstLineChars="200" w:firstLine="420"/>
        <w:outlineLvl w:val="0"/>
        <w:rPr>
          <w:rFonts w:ascii="宋体" w:eastAsia="宋体" w:hAnsi="宋体"/>
          <w:sz w:val="24"/>
        </w:rPr>
      </w:pPr>
      <w:r>
        <w:rPr>
          <w:rFonts w:ascii="黑体" w:eastAsia="黑体" w:hAnsi="Times New Roman" w:cs="Times New Roman" w:hint="eastAsia"/>
          <w:kern w:val="0"/>
          <w:szCs w:val="21"/>
        </w:rPr>
        <w:t>3.5.2.1</w:t>
      </w:r>
      <w:r>
        <w:rPr>
          <w:rFonts w:ascii="宋体" w:eastAsia="宋体" w:hAnsi="宋体" w:hint="eastAsia"/>
          <w:sz w:val="24"/>
        </w:rPr>
        <w:t>包装应能维护其卫生、营养、工艺和感官质量。</w:t>
      </w:r>
    </w:p>
    <w:p w14:paraId="7CB4A58E" w14:textId="77777777" w:rsidR="00DD63EB" w:rsidRDefault="002C232E">
      <w:pPr>
        <w:spacing w:line="440" w:lineRule="exact"/>
        <w:ind w:firstLineChars="200" w:firstLine="420"/>
        <w:outlineLvl w:val="0"/>
        <w:rPr>
          <w:rFonts w:ascii="宋体" w:eastAsia="宋体" w:hAnsi="宋体"/>
          <w:sz w:val="24"/>
        </w:rPr>
      </w:pPr>
      <w:r>
        <w:rPr>
          <w:rFonts w:ascii="黑体" w:eastAsia="黑体" w:hAnsi="Times New Roman" w:cs="Times New Roman" w:hint="eastAsia"/>
          <w:kern w:val="0"/>
          <w:szCs w:val="21"/>
        </w:rPr>
        <w:t xml:space="preserve">3.5.2.2 </w:t>
      </w:r>
      <w:r>
        <w:rPr>
          <w:rFonts w:ascii="宋体" w:eastAsia="宋体" w:hAnsi="宋体" w:hint="eastAsia"/>
          <w:sz w:val="24"/>
        </w:rPr>
        <w:t>包装物，包括包装材料，应由安全适用的物质制成，他们不应向</w:t>
      </w:r>
      <w:r>
        <w:rPr>
          <w:rFonts w:ascii="宋体" w:eastAsia="宋体" w:hAnsi="宋体" w:hint="eastAsia"/>
          <w:sz w:val="24"/>
        </w:rPr>
        <w:t>产品传递任何有害的物质或不良的气味、滋味。</w:t>
      </w:r>
    </w:p>
    <w:p w14:paraId="39403A40" w14:textId="77777777" w:rsidR="00DD63EB" w:rsidRDefault="002C232E">
      <w:pPr>
        <w:spacing w:line="440" w:lineRule="exact"/>
        <w:ind w:firstLineChars="200" w:firstLine="420"/>
        <w:outlineLvl w:val="0"/>
        <w:rPr>
          <w:rFonts w:ascii="宋体" w:eastAsia="宋体" w:hAnsi="宋体"/>
          <w:sz w:val="24"/>
        </w:rPr>
      </w:pPr>
      <w:r>
        <w:rPr>
          <w:rFonts w:ascii="黑体" w:eastAsia="黑体" w:hAnsi="Times New Roman" w:cs="Times New Roman" w:hint="eastAsia"/>
          <w:kern w:val="0"/>
          <w:szCs w:val="21"/>
        </w:rPr>
        <w:t xml:space="preserve">3.5.2.3 </w:t>
      </w:r>
      <w:r>
        <w:rPr>
          <w:rFonts w:ascii="宋体" w:eastAsia="宋体" w:hAnsi="宋体" w:hint="eastAsia"/>
          <w:sz w:val="24"/>
        </w:rPr>
        <w:t>包装物应洁净、牢固，牢固缝制或牢固密封。</w:t>
      </w:r>
    </w:p>
    <w:p w14:paraId="70077CA5" w14:textId="77777777" w:rsidR="00DD63EB" w:rsidRDefault="002C232E">
      <w:pPr>
        <w:spacing w:line="440" w:lineRule="exact"/>
        <w:ind w:firstLineChars="200" w:firstLine="420"/>
        <w:outlineLvl w:val="0"/>
        <w:rPr>
          <w:rFonts w:ascii="宋体" w:eastAsia="宋体" w:hAnsi="宋体"/>
          <w:sz w:val="24"/>
        </w:rPr>
      </w:pPr>
      <w:r>
        <w:rPr>
          <w:rFonts w:ascii="黑体" w:eastAsia="黑体" w:hAnsi="Times New Roman" w:cs="Times New Roman" w:hint="eastAsia"/>
          <w:kern w:val="0"/>
          <w:szCs w:val="21"/>
        </w:rPr>
        <w:t xml:space="preserve">3.5.2.4 </w:t>
      </w:r>
      <w:r>
        <w:rPr>
          <w:rFonts w:ascii="宋体" w:eastAsia="宋体" w:hAnsi="宋体" w:hint="eastAsia"/>
          <w:sz w:val="24"/>
        </w:rPr>
        <w:t>运输过程中应防晒、避光、避热、防尘、防雨雪；运输器具应清洁干燥、无污染；贮存场所应清洁干燥、无污染；包装袋应码放距地面、墙壁</w:t>
      </w:r>
      <w:r>
        <w:rPr>
          <w:rFonts w:ascii="宋体" w:eastAsia="宋体" w:hAnsi="宋体" w:hint="eastAsia"/>
          <w:sz w:val="24"/>
        </w:rPr>
        <w:t>20cm</w:t>
      </w:r>
      <w:r>
        <w:rPr>
          <w:rFonts w:ascii="宋体" w:eastAsia="宋体" w:hAnsi="宋体" w:hint="eastAsia"/>
          <w:sz w:val="24"/>
        </w:rPr>
        <w:t>以上，贮存期间应注意防</w:t>
      </w:r>
      <w:proofErr w:type="gramStart"/>
      <w:r>
        <w:rPr>
          <w:rFonts w:ascii="宋体" w:eastAsia="宋体" w:hAnsi="宋体" w:hint="eastAsia"/>
          <w:sz w:val="24"/>
        </w:rPr>
        <w:t>嗮</w:t>
      </w:r>
      <w:proofErr w:type="gramEnd"/>
      <w:r>
        <w:rPr>
          <w:rFonts w:ascii="宋体" w:eastAsia="宋体" w:hAnsi="宋体" w:hint="eastAsia"/>
          <w:sz w:val="24"/>
        </w:rPr>
        <w:t>、避光、避热、防虫、防潮。</w:t>
      </w:r>
    </w:p>
    <w:p w14:paraId="6A45A626" w14:textId="77777777" w:rsidR="00DD63EB" w:rsidRDefault="002C232E">
      <w:r>
        <w:rPr>
          <w:rFonts w:hint="eastAsia"/>
          <w:b/>
        </w:rPr>
        <w:t xml:space="preserve">  </w:t>
      </w:r>
    </w:p>
    <w:p w14:paraId="0D03E257" w14:textId="77777777" w:rsidR="00DD63EB" w:rsidRDefault="002C232E">
      <w:pPr>
        <w:pStyle w:val="4"/>
      </w:pPr>
      <w:r>
        <w:rPr>
          <w:rFonts w:hint="eastAsia"/>
        </w:rPr>
        <w:t xml:space="preserve">4 </w:t>
      </w:r>
      <w:r>
        <w:rPr>
          <w:rFonts w:hint="eastAsia"/>
        </w:rPr>
        <w:t>相关标准的总体对比</w:t>
      </w:r>
    </w:p>
    <w:p w14:paraId="690ED19C"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马铃薯小麦混合</w:t>
      </w:r>
      <w:proofErr w:type="gramStart"/>
      <w:r>
        <w:rPr>
          <w:rFonts w:ascii="宋体" w:eastAsia="宋体" w:hAnsi="宋体" w:hint="eastAsia"/>
          <w:sz w:val="24"/>
        </w:rPr>
        <w:t>粉标准</w:t>
      </w:r>
      <w:proofErr w:type="gramEnd"/>
      <w:r>
        <w:rPr>
          <w:rFonts w:ascii="宋体" w:eastAsia="宋体" w:hAnsi="宋体" w:hint="eastAsia"/>
          <w:sz w:val="24"/>
        </w:rPr>
        <w:t>的制定，与马铃薯全粉、小麦粉确定可所涉及的术语和定义，无冲突。</w:t>
      </w:r>
    </w:p>
    <w:p w14:paraId="788C3BBD" w14:textId="77777777" w:rsidR="00DD63EB" w:rsidRDefault="002C232E">
      <w:pPr>
        <w:pStyle w:val="4"/>
      </w:pPr>
      <w:r>
        <w:rPr>
          <w:rFonts w:hint="eastAsia"/>
        </w:rPr>
        <w:t xml:space="preserve">5 </w:t>
      </w:r>
      <w:r>
        <w:rPr>
          <w:rFonts w:hint="eastAsia"/>
        </w:rPr>
        <w:t>技术经济论证及预期的社会经济效果</w:t>
      </w:r>
    </w:p>
    <w:p w14:paraId="36DCBB58" w14:textId="77777777" w:rsidR="00DD63EB" w:rsidRDefault="002C232E">
      <w:pPr>
        <w:pStyle w:val="5"/>
      </w:pPr>
      <w:r>
        <w:rPr>
          <w:rFonts w:hint="eastAsia"/>
        </w:rPr>
        <w:t xml:space="preserve">5.1 </w:t>
      </w:r>
      <w:r>
        <w:rPr>
          <w:rFonts w:hint="eastAsia"/>
        </w:rPr>
        <w:t>经济效益</w:t>
      </w:r>
    </w:p>
    <w:p w14:paraId="4D0BF835"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马铃薯小麦混合</w:t>
      </w:r>
      <w:proofErr w:type="gramStart"/>
      <w:r>
        <w:rPr>
          <w:rFonts w:ascii="宋体" w:eastAsia="宋体" w:hAnsi="宋体" w:hint="eastAsia"/>
          <w:sz w:val="24"/>
        </w:rPr>
        <w:t>粉标准</w:t>
      </w:r>
      <w:proofErr w:type="gramEnd"/>
      <w:r>
        <w:rPr>
          <w:rFonts w:ascii="宋体" w:eastAsia="宋体" w:hAnsi="宋体" w:hint="eastAsia"/>
          <w:sz w:val="24"/>
        </w:rPr>
        <w:t>的制定，将会更好的规</w:t>
      </w:r>
      <w:r>
        <w:rPr>
          <w:rFonts w:ascii="宋体" w:eastAsia="宋体" w:hAnsi="宋体" w:hint="eastAsia"/>
          <w:sz w:val="24"/>
        </w:rPr>
        <w:t>范我国马铃薯小麦混合粉的生产质量，推动我国马铃薯小麦混合粉的商品化流动，推动马铃薯主食产业发展，促进人民膳食多样和身体健康，使我国特色马铃薯小麦混合粉成为销售热点，增加农民和生产企业的收入。</w:t>
      </w:r>
    </w:p>
    <w:p w14:paraId="5F3DEFE7" w14:textId="77777777" w:rsidR="00DD63EB" w:rsidRDefault="002C232E">
      <w:pPr>
        <w:pStyle w:val="5"/>
      </w:pPr>
      <w:r>
        <w:rPr>
          <w:rFonts w:hint="eastAsia"/>
        </w:rPr>
        <w:lastRenderedPageBreak/>
        <w:t xml:space="preserve">5.2 </w:t>
      </w:r>
      <w:r>
        <w:rPr>
          <w:rFonts w:hint="eastAsia"/>
        </w:rPr>
        <w:t>社会效益</w:t>
      </w:r>
    </w:p>
    <w:p w14:paraId="66296B46"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有利于促进我国马铃薯小麦混合粉、马铃薯主食产品的品牌建设，增加安全、优质、绿色、健康的中高端食品的供给。提供我国马铃薯小麦混合粉的知名度和销售推广价值，这对我国马铃薯主粮化战略，调整农业产业结构优化升级，推动区域经济快速发展，都是重要意义。</w:t>
      </w:r>
    </w:p>
    <w:p w14:paraId="5E054E05" w14:textId="77777777" w:rsidR="00DD63EB" w:rsidRDefault="002C232E">
      <w:pPr>
        <w:pStyle w:val="4"/>
      </w:pPr>
      <w:r>
        <w:rPr>
          <w:rFonts w:hint="eastAsia"/>
        </w:rPr>
        <w:t xml:space="preserve">6 </w:t>
      </w:r>
      <w:r>
        <w:rPr>
          <w:rFonts w:hint="eastAsia"/>
        </w:rPr>
        <w:t>参考的国际标准</w:t>
      </w:r>
    </w:p>
    <w:p w14:paraId="0C8EFDBF"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未参考国际标准</w:t>
      </w:r>
    </w:p>
    <w:p w14:paraId="64A93963" w14:textId="77777777" w:rsidR="00DD63EB" w:rsidRDefault="002C232E">
      <w:pPr>
        <w:pStyle w:val="4"/>
      </w:pPr>
      <w:r>
        <w:rPr>
          <w:rFonts w:hint="eastAsia"/>
        </w:rPr>
        <w:t xml:space="preserve">7 </w:t>
      </w:r>
      <w:r>
        <w:rPr>
          <w:rFonts w:hint="eastAsia"/>
        </w:rPr>
        <w:t>与有关的现行法律、法规和强制性标准的关系</w:t>
      </w:r>
    </w:p>
    <w:p w14:paraId="4B0B8339"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本标准的制定，与国家相关强制性标准无矛盾和冲突。</w:t>
      </w:r>
    </w:p>
    <w:p w14:paraId="13B61001" w14:textId="77777777" w:rsidR="00DD63EB" w:rsidRDefault="002C232E">
      <w:pPr>
        <w:pStyle w:val="4"/>
      </w:pPr>
      <w:r>
        <w:rPr>
          <w:rFonts w:hint="eastAsia"/>
        </w:rPr>
        <w:t>8</w:t>
      </w:r>
      <w:r>
        <w:rPr>
          <w:rFonts w:hint="eastAsia"/>
        </w:rPr>
        <w:t>贯彻行业标准的要求和措施建议</w:t>
      </w:r>
    </w:p>
    <w:p w14:paraId="4A90B83A" w14:textId="77777777" w:rsidR="00DD63EB" w:rsidRDefault="002C232E">
      <w:pPr>
        <w:spacing w:line="440" w:lineRule="exact"/>
        <w:ind w:firstLineChars="200" w:firstLine="420"/>
        <w:outlineLvl w:val="0"/>
        <w:rPr>
          <w:rFonts w:ascii="宋体" w:eastAsia="宋体" w:hAnsi="宋体"/>
          <w:sz w:val="24"/>
        </w:rPr>
      </w:pPr>
      <w:r>
        <w:rPr>
          <w:rFonts w:ascii="黑体" w:eastAsia="黑体" w:hAnsi="Times New Roman" w:cs="Times New Roman" w:hint="eastAsia"/>
          <w:kern w:val="0"/>
          <w:szCs w:val="21"/>
        </w:rPr>
        <w:t xml:space="preserve">8.1 </w:t>
      </w:r>
      <w:r>
        <w:rPr>
          <w:rFonts w:ascii="宋体" w:eastAsia="宋体" w:hAnsi="宋体" w:hint="eastAsia"/>
          <w:sz w:val="24"/>
        </w:rPr>
        <w:t>发布后、实施前应将信息在媒体上广为宣传</w:t>
      </w:r>
    </w:p>
    <w:p w14:paraId="2CF855F3" w14:textId="77777777" w:rsidR="00DD63EB" w:rsidRDefault="002C232E">
      <w:pPr>
        <w:spacing w:line="440" w:lineRule="exact"/>
        <w:ind w:firstLineChars="200" w:firstLine="420"/>
        <w:outlineLvl w:val="0"/>
        <w:rPr>
          <w:rFonts w:ascii="宋体" w:eastAsia="宋体" w:hAnsi="宋体"/>
          <w:sz w:val="24"/>
        </w:rPr>
      </w:pPr>
      <w:r>
        <w:rPr>
          <w:rFonts w:ascii="黑体" w:eastAsia="黑体" w:hAnsi="Times New Roman" w:cs="Times New Roman" w:hint="eastAsia"/>
          <w:kern w:val="0"/>
          <w:szCs w:val="21"/>
        </w:rPr>
        <w:t>8.2</w:t>
      </w:r>
      <w:r>
        <w:rPr>
          <w:rFonts w:ascii="宋体" w:eastAsia="宋体" w:hAnsi="宋体" w:hint="eastAsia"/>
          <w:sz w:val="24"/>
        </w:rPr>
        <w:t>要对标准的使用对象、生产厂家、监督管理部门等，有侧重地进行培训、宣传。</w:t>
      </w:r>
    </w:p>
    <w:p w14:paraId="4E060CB0" w14:textId="77777777" w:rsidR="00DD63EB" w:rsidRDefault="002C232E">
      <w:pPr>
        <w:spacing w:line="440" w:lineRule="exact"/>
        <w:ind w:firstLineChars="200" w:firstLine="420"/>
        <w:outlineLvl w:val="0"/>
        <w:rPr>
          <w:rFonts w:ascii="宋体" w:eastAsia="宋体" w:hAnsi="宋体"/>
          <w:sz w:val="24"/>
        </w:rPr>
      </w:pPr>
      <w:r>
        <w:rPr>
          <w:rFonts w:ascii="黑体" w:eastAsia="黑体" w:hAnsi="Times New Roman" w:cs="Times New Roman" w:hint="eastAsia"/>
          <w:kern w:val="0"/>
          <w:szCs w:val="21"/>
        </w:rPr>
        <w:t>8.3</w:t>
      </w:r>
      <w:r>
        <w:rPr>
          <w:rFonts w:ascii="宋体" w:eastAsia="宋体" w:hAnsi="宋体" w:hint="eastAsia"/>
          <w:sz w:val="24"/>
        </w:rPr>
        <w:t>实施的过渡期宜定位</w:t>
      </w:r>
      <w:r>
        <w:rPr>
          <w:rFonts w:ascii="宋体" w:eastAsia="宋体" w:hAnsi="宋体" w:hint="eastAsia"/>
          <w:sz w:val="24"/>
        </w:rPr>
        <w:t>3</w:t>
      </w:r>
      <w:r>
        <w:rPr>
          <w:rFonts w:ascii="宋体" w:eastAsia="宋体" w:hAnsi="宋体" w:hint="eastAsia"/>
          <w:sz w:val="24"/>
        </w:rPr>
        <w:t>个月。</w:t>
      </w:r>
    </w:p>
    <w:p w14:paraId="5921ABBB" w14:textId="77777777" w:rsidR="00DD63EB" w:rsidRDefault="002C232E">
      <w:pPr>
        <w:pStyle w:val="4"/>
      </w:pPr>
      <w:r>
        <w:rPr>
          <w:rFonts w:hint="eastAsia"/>
        </w:rPr>
        <w:t xml:space="preserve">9 </w:t>
      </w:r>
      <w:r>
        <w:rPr>
          <w:rFonts w:hint="eastAsia"/>
        </w:rPr>
        <w:t>废止现行有关标准的建议</w:t>
      </w:r>
    </w:p>
    <w:p w14:paraId="7BC5FF12" w14:textId="77777777" w:rsidR="00DD63EB" w:rsidRDefault="002C232E">
      <w:pPr>
        <w:ind w:firstLineChars="200" w:firstLine="420"/>
      </w:pPr>
      <w:r>
        <w:rPr>
          <w:rFonts w:hint="eastAsia"/>
        </w:rPr>
        <w:t>无</w:t>
      </w:r>
    </w:p>
    <w:p w14:paraId="75D74315" w14:textId="77777777" w:rsidR="00DD63EB" w:rsidRDefault="002C232E">
      <w:pPr>
        <w:pStyle w:val="4"/>
      </w:pPr>
      <w:r>
        <w:rPr>
          <w:rFonts w:hint="eastAsia"/>
        </w:rPr>
        <w:t xml:space="preserve">10 </w:t>
      </w:r>
      <w:r>
        <w:rPr>
          <w:rFonts w:hint="eastAsia"/>
        </w:rPr>
        <w:t>其它应予说明的事项</w:t>
      </w:r>
    </w:p>
    <w:p w14:paraId="5E356C0C" w14:textId="77777777" w:rsidR="00DD63EB" w:rsidRDefault="002C232E">
      <w:pPr>
        <w:spacing w:line="440" w:lineRule="exact"/>
        <w:ind w:firstLineChars="200" w:firstLine="480"/>
        <w:outlineLvl w:val="0"/>
        <w:rPr>
          <w:rFonts w:ascii="宋体" w:eastAsia="宋体" w:hAnsi="宋体"/>
          <w:sz w:val="24"/>
        </w:rPr>
      </w:pPr>
      <w:r>
        <w:rPr>
          <w:rFonts w:ascii="宋体" w:eastAsia="宋体" w:hAnsi="宋体" w:hint="eastAsia"/>
          <w:sz w:val="24"/>
        </w:rPr>
        <w:t>无。</w:t>
      </w:r>
    </w:p>
    <w:sectPr w:rsidR="00DD6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FF8DE" w14:textId="77777777" w:rsidR="002C232E" w:rsidRDefault="002C232E" w:rsidP="007C0F1E">
      <w:r>
        <w:separator/>
      </w:r>
    </w:p>
  </w:endnote>
  <w:endnote w:type="continuationSeparator" w:id="0">
    <w:p w14:paraId="57B635A2" w14:textId="77777777" w:rsidR="002C232E" w:rsidRDefault="002C232E" w:rsidP="007C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6750C" w14:textId="77777777" w:rsidR="002C232E" w:rsidRDefault="002C232E" w:rsidP="007C0F1E">
      <w:r>
        <w:separator/>
      </w:r>
    </w:p>
  </w:footnote>
  <w:footnote w:type="continuationSeparator" w:id="0">
    <w:p w14:paraId="128821C7" w14:textId="77777777" w:rsidR="002C232E" w:rsidRDefault="002C232E" w:rsidP="007C0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28F"/>
    <w:multiLevelType w:val="multilevel"/>
    <w:tmpl w:val="017D428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5F544FC"/>
    <w:rsid w:val="00003A4F"/>
    <w:rsid w:val="002C232E"/>
    <w:rsid w:val="007C0F1E"/>
    <w:rsid w:val="007F0296"/>
    <w:rsid w:val="00DD63EB"/>
    <w:rsid w:val="01162D43"/>
    <w:rsid w:val="067F4AC2"/>
    <w:rsid w:val="18CE0CF7"/>
    <w:rsid w:val="2C8A27BF"/>
    <w:rsid w:val="2DD248BD"/>
    <w:rsid w:val="371B5FAA"/>
    <w:rsid w:val="473A5437"/>
    <w:rsid w:val="4EB927BB"/>
    <w:rsid w:val="65F544FC"/>
    <w:rsid w:val="6B2341DC"/>
    <w:rsid w:val="75251EB5"/>
    <w:rsid w:val="7CB4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46E6"/>
  <w15:docId w15:val="{AFC9179B-758B-4B9C-9759-6FE51A2A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1"/>
    <w:next w:val="a1"/>
    <w:unhideWhenUsed/>
    <w:qFormat/>
    <w:pPr>
      <w:keepNext/>
      <w:keepLines/>
      <w:spacing w:before="260" w:after="260" w:line="413" w:lineRule="auto"/>
      <w:outlineLvl w:val="2"/>
    </w:pPr>
    <w:rPr>
      <w:b/>
      <w:sz w:val="32"/>
    </w:rPr>
  </w:style>
  <w:style w:type="paragraph" w:styleId="4">
    <w:name w:val="heading 4"/>
    <w:basedOn w:val="a1"/>
    <w:next w:val="a1"/>
    <w:unhideWhenUsed/>
    <w:qFormat/>
    <w:pPr>
      <w:keepNext/>
      <w:keepLines/>
      <w:spacing w:before="280" w:after="290" w:line="372" w:lineRule="auto"/>
      <w:outlineLvl w:val="3"/>
    </w:pPr>
    <w:rPr>
      <w:rFonts w:ascii="Arial" w:eastAsia="黑体" w:hAnsi="Arial"/>
      <w:b/>
      <w:sz w:val="28"/>
    </w:rPr>
  </w:style>
  <w:style w:type="paragraph" w:styleId="5">
    <w:name w:val="heading 5"/>
    <w:basedOn w:val="a1"/>
    <w:next w:val="a1"/>
    <w:unhideWhenUsed/>
    <w:qFormat/>
    <w:pPr>
      <w:keepNext/>
      <w:keepLines/>
      <w:spacing w:before="280" w:after="290" w:line="372" w:lineRule="auto"/>
      <w:outlineLvl w:val="4"/>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
    <w:name w:val="样式2"/>
    <w:basedOn w:val="5"/>
    <w:next w:val="a1"/>
    <w:rPr>
      <w:sz w:val="21"/>
    </w:rPr>
  </w:style>
  <w:style w:type="paragraph" w:customStyle="1" w:styleId="30">
    <w:name w:val="样式3"/>
    <w:basedOn w:val="5"/>
    <w:next w:val="a1"/>
    <w:rPr>
      <w:sz w:val="21"/>
      <w:szCs w:val="22"/>
    </w:rPr>
  </w:style>
  <w:style w:type="paragraph" w:customStyle="1" w:styleId="a">
    <w:name w:val="章标题"/>
    <w:next w:val="a5"/>
    <w:qFormat/>
    <w:pPr>
      <w:numPr>
        <w:numId w:val="1"/>
      </w:numPr>
      <w:spacing w:beforeLines="100" w:afterLines="100"/>
      <w:jc w:val="both"/>
      <w:outlineLvl w:val="1"/>
    </w:pPr>
    <w:rPr>
      <w:rFonts w:ascii="黑体" w:eastAsia="黑体"/>
      <w:sz w:val="21"/>
    </w:rPr>
  </w:style>
  <w:style w:type="paragraph" w:customStyle="1" w:styleId="a5">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5"/>
    <w:qFormat/>
    <w:pPr>
      <w:numPr>
        <w:ilvl w:val="1"/>
        <w:numId w:val="1"/>
      </w:numPr>
      <w:spacing w:beforeLines="50" w:afterLines="50"/>
      <w:outlineLvl w:val="2"/>
    </w:pPr>
    <w:rPr>
      <w:rFonts w:ascii="黑体" w:eastAsia="黑体"/>
      <w:sz w:val="21"/>
      <w:szCs w:val="21"/>
    </w:rPr>
  </w:style>
  <w:style w:type="paragraph" w:styleId="a6">
    <w:name w:val="List Paragraph"/>
    <w:basedOn w:val="a1"/>
    <w:uiPriority w:val="34"/>
    <w:qFormat/>
    <w:pPr>
      <w:ind w:firstLineChars="200" w:firstLine="420"/>
    </w:pPr>
  </w:style>
  <w:style w:type="paragraph" w:styleId="a7">
    <w:name w:val="header"/>
    <w:basedOn w:val="a1"/>
    <w:link w:val="a8"/>
    <w:rsid w:val="007C0F1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2"/>
    <w:link w:val="a7"/>
    <w:rsid w:val="007C0F1E"/>
    <w:rPr>
      <w:rFonts w:asciiTheme="minorHAnsi" w:eastAsiaTheme="minorEastAsia" w:hAnsiTheme="minorHAnsi" w:cstheme="minorBidi"/>
      <w:kern w:val="2"/>
      <w:sz w:val="18"/>
      <w:szCs w:val="18"/>
    </w:rPr>
  </w:style>
  <w:style w:type="paragraph" w:styleId="a9">
    <w:name w:val="footer"/>
    <w:basedOn w:val="a1"/>
    <w:link w:val="aa"/>
    <w:rsid w:val="007C0F1E"/>
    <w:pPr>
      <w:tabs>
        <w:tab w:val="center" w:pos="4153"/>
        <w:tab w:val="right" w:pos="8306"/>
      </w:tabs>
      <w:snapToGrid w:val="0"/>
      <w:jc w:val="left"/>
    </w:pPr>
    <w:rPr>
      <w:sz w:val="18"/>
      <w:szCs w:val="18"/>
    </w:rPr>
  </w:style>
  <w:style w:type="character" w:customStyle="1" w:styleId="aa">
    <w:name w:val="页脚 字符"/>
    <w:basedOn w:val="a2"/>
    <w:link w:val="a9"/>
    <w:rsid w:val="007C0F1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仙袂飘飘</dc:creator>
  <cp:lastModifiedBy>echo zhao</cp:lastModifiedBy>
  <cp:revision>2</cp:revision>
  <dcterms:created xsi:type="dcterms:W3CDTF">2020-07-03T07:44:00Z</dcterms:created>
  <dcterms:modified xsi:type="dcterms:W3CDTF">2020-07-03T07:44:00Z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